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91BA" w14:textId="77777777" w:rsidR="00F84AA0" w:rsidRPr="006F7848" w:rsidRDefault="00F84AA0">
      <w:pPr>
        <w:rPr>
          <w:lang w:val="en-US"/>
        </w:rPr>
      </w:pPr>
    </w:p>
    <w:p w14:paraId="753B7697" w14:textId="77777777" w:rsidR="00F84AA0" w:rsidRDefault="00F84AA0"/>
    <w:p w14:paraId="0605A52A" w14:textId="77777777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Общество с ограниченной ответственностью «ФБК-Бел» настоящим письмом представляет Вам предложение по проведению обучения по программе: </w:t>
      </w:r>
    </w:p>
    <w:p w14:paraId="219DFD39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450839B1" w14:textId="77777777" w:rsidR="004261C1" w:rsidRPr="00C65876" w:rsidRDefault="004261C1" w:rsidP="004261C1">
      <w:pPr>
        <w:pStyle w:val="af0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65876">
        <w:rPr>
          <w:rFonts w:ascii="Arial" w:hAnsi="Arial" w:cs="Arial"/>
          <w:b/>
          <w:sz w:val="20"/>
          <w:szCs w:val="20"/>
        </w:rPr>
        <w:t xml:space="preserve"> «Актуальные вопросы применения Международных стандартов финансовой отчетности на предприятиях»</w:t>
      </w:r>
    </w:p>
    <w:p w14:paraId="1B2A2EC6" w14:textId="77777777" w:rsidR="004261C1" w:rsidRPr="00C65876" w:rsidRDefault="004261C1" w:rsidP="004261C1">
      <w:pPr>
        <w:jc w:val="both"/>
        <w:rPr>
          <w:rFonts w:cs="Arial"/>
          <w:b/>
          <w:szCs w:val="20"/>
        </w:rPr>
      </w:pPr>
    </w:p>
    <w:p w14:paraId="3C51199A" w14:textId="20B74531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b/>
          <w:szCs w:val="20"/>
        </w:rPr>
        <w:t>Продолжительность:</w:t>
      </w:r>
      <w:r w:rsidRPr="00C65876">
        <w:rPr>
          <w:rFonts w:cs="Arial"/>
          <w:szCs w:val="20"/>
        </w:rPr>
        <w:t xml:space="preserve"> </w:t>
      </w:r>
      <w:r w:rsidRPr="00C65876">
        <w:rPr>
          <w:rFonts w:cs="Arial"/>
          <w:b/>
          <w:szCs w:val="20"/>
        </w:rPr>
        <w:t>24 часа (6 дней занятий с 18:00 до 21:15)</w:t>
      </w:r>
    </w:p>
    <w:p w14:paraId="0E500137" w14:textId="77777777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b/>
          <w:szCs w:val="20"/>
        </w:rPr>
        <w:t>Формат:</w:t>
      </w:r>
      <w:r w:rsidRPr="00C65876">
        <w:rPr>
          <w:rFonts w:cs="Arial"/>
          <w:szCs w:val="20"/>
        </w:rPr>
        <w:t xml:space="preserve"> в аудитории либо дистанционно с использованием программы </w:t>
      </w:r>
      <w:r w:rsidRPr="00C65876">
        <w:rPr>
          <w:rFonts w:cs="Arial"/>
          <w:szCs w:val="20"/>
          <w:lang w:val="en-US"/>
        </w:rPr>
        <w:t>Zoom</w:t>
      </w:r>
      <w:r w:rsidRPr="00C65876">
        <w:rPr>
          <w:rFonts w:cs="Arial"/>
          <w:szCs w:val="20"/>
        </w:rPr>
        <w:t>.</w:t>
      </w:r>
    </w:p>
    <w:p w14:paraId="19E571FD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0B33C90D" w14:textId="2D534354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После прохождения курса каждый участник получает </w:t>
      </w:r>
      <w:r w:rsidRPr="00C65876">
        <w:rPr>
          <w:rFonts w:cs="Arial"/>
          <w:b/>
          <w:szCs w:val="20"/>
        </w:rPr>
        <w:t>справку государственного образца о прохождении обучения</w:t>
      </w:r>
      <w:r w:rsidRPr="00C65876">
        <w:rPr>
          <w:rFonts w:cs="Arial"/>
          <w:szCs w:val="20"/>
        </w:rPr>
        <w:t xml:space="preserve"> и сертификат «ФБК-Бел».</w:t>
      </w:r>
    </w:p>
    <w:p w14:paraId="5CB4A80D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199FDAA2" w14:textId="5E7E42F6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Стоимость курса составит </w:t>
      </w:r>
      <w:r w:rsidRPr="00C65876">
        <w:rPr>
          <w:rFonts w:cs="Arial"/>
          <w:b/>
          <w:szCs w:val="20"/>
        </w:rPr>
        <w:t>980,00 (девятьсот восемьдесят рублей 00 копеек) белорусских рублей.</w:t>
      </w:r>
    </w:p>
    <w:p w14:paraId="24933F83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565CECD7" w14:textId="0EDFDD6B" w:rsidR="004261C1" w:rsidRPr="00C65876" w:rsidRDefault="004261C1" w:rsidP="004261C1">
      <w:pPr>
        <w:jc w:val="both"/>
        <w:rPr>
          <w:rFonts w:cs="Arial"/>
          <w:b/>
          <w:szCs w:val="20"/>
        </w:rPr>
      </w:pPr>
      <w:r w:rsidRPr="00C65876">
        <w:rPr>
          <w:rFonts w:cs="Arial"/>
          <w:b/>
          <w:szCs w:val="20"/>
        </w:rPr>
        <w:t>Программа курса представлена в Приложении 1.</w:t>
      </w:r>
    </w:p>
    <w:p w14:paraId="7701E085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215016BC" w14:textId="77777777" w:rsidR="004261C1" w:rsidRPr="00C65876" w:rsidRDefault="004261C1" w:rsidP="004261C1">
      <w:pPr>
        <w:rPr>
          <w:rFonts w:cs="Arial"/>
          <w:b/>
          <w:szCs w:val="20"/>
        </w:rPr>
      </w:pPr>
    </w:p>
    <w:p w14:paraId="1884F29B" w14:textId="77777777" w:rsidR="004261C1" w:rsidRPr="00C65876" w:rsidRDefault="004261C1" w:rsidP="004261C1">
      <w:pPr>
        <w:jc w:val="right"/>
        <w:rPr>
          <w:rFonts w:cs="Arial"/>
          <w:b/>
          <w:szCs w:val="20"/>
        </w:rPr>
      </w:pPr>
      <w:r w:rsidRPr="00C65876">
        <w:rPr>
          <w:rFonts w:cs="Arial"/>
          <w:b/>
          <w:szCs w:val="20"/>
        </w:rPr>
        <w:t>Приложение 1</w:t>
      </w:r>
    </w:p>
    <w:p w14:paraId="3F5BE2A6" w14:textId="77777777" w:rsidR="004261C1" w:rsidRPr="00C65876" w:rsidRDefault="004261C1" w:rsidP="004261C1">
      <w:pPr>
        <w:jc w:val="center"/>
        <w:rPr>
          <w:rFonts w:cs="Arial"/>
          <w:b/>
          <w:szCs w:val="20"/>
          <w:lang w:val="en-US"/>
        </w:rPr>
      </w:pPr>
      <w:r w:rsidRPr="00C65876">
        <w:rPr>
          <w:rFonts w:cs="Arial"/>
          <w:b/>
          <w:szCs w:val="20"/>
        </w:rPr>
        <w:t xml:space="preserve">Программа </w:t>
      </w:r>
    </w:p>
    <w:p w14:paraId="4312D8F0" w14:textId="77777777" w:rsidR="004261C1" w:rsidRPr="00C65876" w:rsidRDefault="004261C1" w:rsidP="004261C1">
      <w:pPr>
        <w:jc w:val="center"/>
        <w:rPr>
          <w:rFonts w:cs="Arial"/>
          <w:b/>
          <w:szCs w:val="20"/>
        </w:rPr>
      </w:pPr>
    </w:p>
    <w:tbl>
      <w:tblPr>
        <w:tblW w:w="9960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1277"/>
        <w:gridCol w:w="8683"/>
      </w:tblGrid>
      <w:tr w:rsidR="004261C1" w:rsidRPr="00C65876" w14:paraId="2D643B86" w14:textId="77777777" w:rsidTr="00957D98">
        <w:trPr>
          <w:trHeight w:val="7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58D6" w14:textId="77777777" w:rsidR="004261C1" w:rsidRPr="00C65876" w:rsidRDefault="004261C1" w:rsidP="00957D98">
            <w:pPr>
              <w:spacing w:line="276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 w:rsidRPr="00C65876">
              <w:rPr>
                <w:rFonts w:cs="Arial"/>
                <w:b/>
                <w:szCs w:val="20"/>
                <w:lang w:eastAsia="en-US"/>
              </w:rPr>
              <w:t>Время, академ. час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1E7ED" w14:textId="77777777" w:rsidR="004261C1" w:rsidRPr="00C65876" w:rsidRDefault="004261C1" w:rsidP="00957D98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</w:p>
          <w:p w14:paraId="44DB554D" w14:textId="77777777" w:rsidR="004261C1" w:rsidRPr="00C65876" w:rsidRDefault="004261C1" w:rsidP="00957D98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  <w:lang w:eastAsia="en-US"/>
              </w:rPr>
            </w:pPr>
            <w:r w:rsidRPr="00C65876">
              <w:rPr>
                <w:rFonts w:cs="Arial"/>
                <w:b/>
                <w:bCs/>
                <w:szCs w:val="20"/>
                <w:lang w:eastAsia="en-US"/>
              </w:rPr>
              <w:t>Описание обсуждаемых проблемных вопросов</w:t>
            </w:r>
          </w:p>
        </w:tc>
      </w:tr>
      <w:tr w:rsidR="004261C1" w:rsidRPr="00C65876" w14:paraId="6D5E3A98" w14:textId="77777777" w:rsidTr="00957D98">
        <w:trPr>
          <w:trHeight w:val="3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4144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0D9BE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Концептуальные основы подготовки и составления финансовой отчетности. Допущение непрерывности деятельности предприятия. Принципы осторожности, существенности, своевременности, сопоставимости.  Принципиальные отличия МСФО от белорусских правил бухгалтерского учета и отчетности.</w:t>
            </w:r>
            <w:r w:rsidRPr="00C65876"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</w:t>
            </w:r>
          </w:p>
        </w:tc>
      </w:tr>
      <w:tr w:rsidR="004261C1" w:rsidRPr="00C65876" w14:paraId="661F475E" w14:textId="77777777" w:rsidTr="00957D98">
        <w:trPr>
          <w:trHeight w:val="3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BAB3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4B00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Классификация денежных средств и эквивалентов денежных средств в соответствии с 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7 Отчет о движении денежных средств.</w:t>
            </w:r>
          </w:p>
        </w:tc>
      </w:tr>
      <w:tr w:rsidR="004261C1" w:rsidRPr="00C65876" w14:paraId="2D843DB8" w14:textId="77777777" w:rsidTr="00957D98">
        <w:trPr>
          <w:trHeight w:val="3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D177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2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DA6C9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) 32,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39,  МСФО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IFRS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) 7. Финансовые инструменты. Разработка методики обесценения дебиторской задолженности. Определение процентов резервирования. Отражение операций факторинга. Выделение монетарной и немонетарной дебиторской задолженности. Практические аспекты применения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требований  МСФО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32, 39,  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IFRS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7</w:t>
            </w:r>
            <w:r w:rsidRPr="00C65876"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. </w:t>
            </w:r>
          </w:p>
        </w:tc>
      </w:tr>
      <w:tr w:rsidR="004261C1" w:rsidRPr="00C65876" w14:paraId="36144529" w14:textId="77777777" w:rsidTr="00957D98">
        <w:trPr>
          <w:trHeight w:val="3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875F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2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624F2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) 2 Запасы. Состав запасов. Оценка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стоимости  запасов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. Чистая реализационная стоимость. Отличия МСФО в составе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и  оценке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стоимости запасов от белорусских правил учета. Разработка методики обесценения запасов. Практические аспекты применения требований 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) 2 Запасы. </w:t>
            </w:r>
          </w:p>
        </w:tc>
      </w:tr>
      <w:tr w:rsidR="004261C1" w:rsidRPr="00C65876" w14:paraId="0FB920E4" w14:textId="77777777" w:rsidTr="00957D98">
        <w:trPr>
          <w:trHeight w:val="4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094A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4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3C18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16 Основные средства. 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23 Затраты по займам. 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) 40 Инвестиционная собственность. МСФО (IFRS) 5 Необоротные активы, предназначенные на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продажу,  прекращенная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деятельность.  МСФО 29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Финансовая отчетность в условиях гиперинфляции. 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) 36 Обесценение активов. Состав основных средств. Методика определения первоначальной стоимости, расчета амортизации, обесценения основных средств. Возмещаемая стоимость, ценность использования, единица, генерирующая денежные средства. Влияние гиперинфляции на стоимость основных средств и суммы начисленной амортизации. Практические аспекты применения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требований  МСФО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16 , 23, 40, 29, 36. Варианты параллельного</w:t>
            </w:r>
            <w:r w:rsidRPr="00C65876"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C65876">
              <w:rPr>
                <w:rFonts w:cs="Arial"/>
                <w:bCs/>
                <w:color w:val="000000"/>
                <w:szCs w:val="20"/>
                <w:lang w:eastAsia="en-US"/>
              </w:rPr>
              <w:t>учета основных средств.</w:t>
            </w:r>
          </w:p>
        </w:tc>
      </w:tr>
      <w:tr w:rsidR="004261C1" w:rsidRPr="00C65876" w14:paraId="3F4EC452" w14:textId="77777777" w:rsidTr="00957D98">
        <w:trPr>
          <w:trHeight w:val="7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78D5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7173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МСФО (IAS) 38 «Нематериальные активы». Понятие и классификация нематериальных активов. Критерии признания объектов в качестве нематериальных активов</w:t>
            </w:r>
          </w:p>
          <w:p w14:paraId="077C1C1A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Нематериальные активы, созданные внутри компании</w:t>
            </w:r>
          </w:p>
        </w:tc>
      </w:tr>
      <w:tr w:rsidR="004261C1" w:rsidRPr="00C65876" w14:paraId="60B0F296" w14:textId="77777777" w:rsidTr="00957D98">
        <w:trPr>
          <w:trHeight w:val="7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6471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2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170C" w14:textId="77777777" w:rsidR="004261C1" w:rsidRPr="00C65876" w:rsidRDefault="004261C1" w:rsidP="00957D98">
            <w:pPr>
              <w:spacing w:line="276" w:lineRule="auto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Временная стоимость денег. Дисконтирование единовременных выплат и выплат на основе аннуитета.</w:t>
            </w:r>
          </w:p>
        </w:tc>
      </w:tr>
      <w:tr w:rsidR="004261C1" w:rsidRPr="00C65876" w14:paraId="607A0234" w14:textId="77777777" w:rsidTr="00957D98">
        <w:trPr>
          <w:trHeight w:val="7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4C6A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4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7C3D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32, 39,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IFRS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7) Финансовые инструменты. МСФО (</w:t>
            </w:r>
            <w:proofErr w:type="gramStart"/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 28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Инвестиции в ассоциированные компании. Классификация финансовых инструментов. Классификация акций. Разработка методики определения справедливой стоимости и обесценения инвестиций. Практические аспекты применения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требований  МСФО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32, 39, 28 .</w:t>
            </w:r>
          </w:p>
        </w:tc>
      </w:tr>
      <w:tr w:rsidR="004261C1" w:rsidRPr="00C65876" w14:paraId="775ED882" w14:textId="77777777" w:rsidTr="00957D98">
        <w:trPr>
          <w:trHeight w:val="3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811F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2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D623E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37 Резервы, условные обязательства и условные активы.  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) 10 События после отчетной даты.  Классификация резервов, условных обязательств и условных активов. Практические аспекты применения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требований  МСФО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37 , 10.</w:t>
            </w:r>
          </w:p>
        </w:tc>
      </w:tr>
      <w:tr w:rsidR="004261C1" w:rsidRPr="00C65876" w14:paraId="7172D20D" w14:textId="77777777" w:rsidTr="00957D98">
        <w:trPr>
          <w:trHeight w:val="3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FA53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08D0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) 18 Выручка. Выручка от продаж, от услуг, процентные доходы, дивиденды, лицензионные платежи. Практические аспекты применения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требований  МСФО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18.</w:t>
            </w:r>
            <w:r w:rsidRPr="00C65876">
              <w:rPr>
                <w:rFonts w:cs="Arial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</w:p>
        </w:tc>
      </w:tr>
      <w:tr w:rsidR="004261C1" w:rsidRPr="00C65876" w14:paraId="22FDDC7A" w14:textId="77777777" w:rsidTr="00957D98">
        <w:trPr>
          <w:trHeight w:val="3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294B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2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03BB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) 12 Налоги на прибыль.  Описание типичных временных и постоянных разниц. Разработка методики расчета отложенных налоговых активов и обязательств. Дискуссии по практическим аспектам применения </w:t>
            </w:r>
            <w:proofErr w:type="gramStart"/>
            <w:r w:rsidRPr="00C65876">
              <w:rPr>
                <w:rFonts w:cs="Arial"/>
                <w:color w:val="000000"/>
                <w:szCs w:val="20"/>
                <w:lang w:eastAsia="en-US"/>
              </w:rPr>
              <w:t>требований  МСФО</w:t>
            </w:r>
            <w:proofErr w:type="gramEnd"/>
            <w:r w:rsidRPr="00C65876">
              <w:rPr>
                <w:rFonts w:cs="Arial"/>
                <w:color w:val="000000"/>
                <w:szCs w:val="20"/>
                <w:lang w:eastAsia="en-US"/>
              </w:rPr>
              <w:t xml:space="preserve">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12.</w:t>
            </w:r>
          </w:p>
        </w:tc>
      </w:tr>
      <w:tr w:rsidR="004261C1" w:rsidRPr="00C65876" w14:paraId="157DC673" w14:textId="77777777" w:rsidTr="00957D98">
        <w:trPr>
          <w:trHeight w:val="3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E8FE" w14:textId="77777777" w:rsidR="004261C1" w:rsidRPr="00C65876" w:rsidRDefault="004261C1" w:rsidP="00957D98">
            <w:pPr>
              <w:spacing w:line="276" w:lineRule="auto"/>
              <w:ind w:left="-95" w:firstLine="95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2</w:t>
            </w:r>
          </w:p>
        </w:tc>
        <w:tc>
          <w:tcPr>
            <w:tcW w:w="8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4CB7" w14:textId="77777777" w:rsidR="004261C1" w:rsidRPr="00C65876" w:rsidRDefault="004261C1" w:rsidP="00957D98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en-US"/>
              </w:rPr>
            </w:pPr>
            <w:r w:rsidRPr="00C65876">
              <w:rPr>
                <w:rFonts w:cs="Arial"/>
                <w:color w:val="000000"/>
                <w:szCs w:val="20"/>
                <w:lang w:eastAsia="en-US"/>
              </w:rPr>
              <w:t>МСФО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IAS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27, (</w:t>
            </w:r>
            <w:r w:rsidRPr="00C65876">
              <w:rPr>
                <w:rFonts w:cs="Arial"/>
                <w:color w:val="000000"/>
                <w:szCs w:val="20"/>
                <w:lang w:val="en-US" w:eastAsia="en-US"/>
              </w:rPr>
              <w:t>IFRS</w:t>
            </w:r>
            <w:r w:rsidRPr="00C65876">
              <w:rPr>
                <w:rFonts w:cs="Arial"/>
                <w:color w:val="000000"/>
                <w:szCs w:val="20"/>
                <w:lang w:eastAsia="en-US"/>
              </w:rPr>
              <w:t>) 3, 10 Консолидированная финансовая отчетность. Основы консолидации отчета о прибылях и убытках: внутренний оборот, нереализованная прибыль. Основы консолидации отчета о финансовом положении: гудвил, неконтролирующая доля.</w:t>
            </w:r>
          </w:p>
        </w:tc>
      </w:tr>
    </w:tbl>
    <w:p w14:paraId="1532E593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64F8D70E" w14:textId="380E9516" w:rsidR="004E3A68" w:rsidRDefault="004E3A68" w:rsidP="004E3A68">
      <w:pPr>
        <w:jc w:val="both"/>
        <w:rPr>
          <w:rFonts w:cs="Arial"/>
          <w:color w:val="000000" w:themeColor="text1"/>
          <w:szCs w:val="20"/>
        </w:rPr>
      </w:pPr>
    </w:p>
    <w:p w14:paraId="46725CC5" w14:textId="77777777" w:rsidR="00C65876" w:rsidRPr="00C65876" w:rsidRDefault="00C65876" w:rsidP="00C65876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За период существования и развития «ФБК-Бел» зарекомендовала себя как компания, которая на гарантировано высоком уровне занимается обучением и развитием специалистов в сфере бухгалтерского учета и финансов. </w:t>
      </w:r>
    </w:p>
    <w:p w14:paraId="2C5DC018" w14:textId="77777777" w:rsidR="00C65876" w:rsidRPr="00C65876" w:rsidRDefault="00C65876" w:rsidP="00C65876">
      <w:pPr>
        <w:jc w:val="both"/>
        <w:rPr>
          <w:rFonts w:cs="Arial"/>
          <w:szCs w:val="20"/>
        </w:rPr>
      </w:pPr>
    </w:p>
    <w:p w14:paraId="239F19FC" w14:textId="77777777" w:rsidR="00C65876" w:rsidRPr="00C65876" w:rsidRDefault="00C65876" w:rsidP="00C65876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Мы стремимся быть полезными обществу, формируя бизнес, успех, репутацию и будущее клиентов. </w:t>
      </w:r>
    </w:p>
    <w:p w14:paraId="227A3C91" w14:textId="77777777" w:rsidR="00C65876" w:rsidRPr="00C65876" w:rsidRDefault="00C65876" w:rsidP="004E3A68">
      <w:pPr>
        <w:jc w:val="both"/>
        <w:rPr>
          <w:rFonts w:cs="Arial"/>
          <w:color w:val="000000" w:themeColor="text1"/>
          <w:szCs w:val="20"/>
        </w:rPr>
      </w:pPr>
    </w:p>
    <w:p w14:paraId="5A1628AB" w14:textId="77777777" w:rsidR="004E3A68" w:rsidRPr="00C65876" w:rsidRDefault="004E3A68" w:rsidP="004E3A68">
      <w:pPr>
        <w:jc w:val="both"/>
        <w:rPr>
          <w:rFonts w:cs="Arial"/>
          <w:color w:val="000000"/>
          <w:szCs w:val="20"/>
        </w:rPr>
      </w:pPr>
    </w:p>
    <w:p w14:paraId="52987ACF" w14:textId="6B58BD10" w:rsidR="00BB5C18" w:rsidRPr="00C65876" w:rsidRDefault="00BB5C18" w:rsidP="00FB62B0">
      <w:pPr>
        <w:jc w:val="both"/>
        <w:rPr>
          <w:rFonts w:cs="Arial"/>
          <w:szCs w:val="20"/>
        </w:rPr>
      </w:pPr>
    </w:p>
    <w:p w14:paraId="0801C5B9" w14:textId="470B058D" w:rsidR="004E3A68" w:rsidRPr="00C65876" w:rsidRDefault="004E3A68" w:rsidP="00FB62B0">
      <w:pPr>
        <w:jc w:val="both"/>
        <w:rPr>
          <w:rFonts w:cs="Arial"/>
          <w:szCs w:val="20"/>
        </w:rPr>
      </w:pPr>
    </w:p>
    <w:p w14:paraId="7B782F5B" w14:textId="77777777" w:rsidR="004261C1" w:rsidRPr="00C65876" w:rsidRDefault="00FB62B0" w:rsidP="00FB62B0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>С уважением,</w:t>
      </w:r>
    </w:p>
    <w:p w14:paraId="2FE8E46E" w14:textId="29B4940B" w:rsidR="008A7B88" w:rsidRPr="00C65876" w:rsidRDefault="000D0DFA" w:rsidP="00C65876">
      <w:pPr>
        <w:jc w:val="both"/>
        <w:rPr>
          <w:rFonts w:cs="Arial"/>
          <w:szCs w:val="20"/>
        </w:rPr>
      </w:pPr>
      <w:r w:rsidRPr="00C65876">
        <w:rPr>
          <w:noProof/>
          <w:szCs w:val="20"/>
        </w:rPr>
        <w:t xml:space="preserve"> </w:t>
      </w:r>
      <w:proofErr w:type="spellStart"/>
      <w:r w:rsidR="004261C1" w:rsidRPr="00C65876">
        <w:rPr>
          <w:rFonts w:cs="Arial"/>
          <w:szCs w:val="20"/>
        </w:rPr>
        <w:t>Павлюкович</w:t>
      </w:r>
      <w:proofErr w:type="spellEnd"/>
      <w:r w:rsidR="004261C1" w:rsidRPr="00C65876">
        <w:rPr>
          <w:rFonts w:cs="Arial"/>
          <w:szCs w:val="20"/>
        </w:rPr>
        <w:t xml:space="preserve"> Вера Александровна</w:t>
      </w:r>
    </w:p>
    <w:p w14:paraId="328649FE" w14:textId="6A4F1B16" w:rsidR="00177272" w:rsidRPr="00C65876" w:rsidRDefault="004261C1" w:rsidP="00BB5C18">
      <w:pPr>
        <w:spacing w:line="360" w:lineRule="auto"/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>Заместитель директора по образовательным программам ООО «ФБК-Бел»</w:t>
      </w:r>
    </w:p>
    <w:p w14:paraId="14900C5B" w14:textId="77777777" w:rsidR="008A7B88" w:rsidRPr="00C65876" w:rsidRDefault="008A7B88" w:rsidP="00AA763D">
      <w:pPr>
        <w:rPr>
          <w:rFonts w:cs="Arial"/>
          <w:szCs w:val="20"/>
        </w:rPr>
      </w:pPr>
    </w:p>
    <w:p w14:paraId="7536C1F7" w14:textId="77777777" w:rsidR="008A7B88" w:rsidRPr="00C65876" w:rsidRDefault="008A7B88" w:rsidP="00AA763D">
      <w:pPr>
        <w:rPr>
          <w:rFonts w:cs="Arial"/>
          <w:szCs w:val="20"/>
        </w:rPr>
      </w:pPr>
    </w:p>
    <w:p w14:paraId="50BC28CD" w14:textId="77777777" w:rsidR="008A7B88" w:rsidRDefault="008A7B88" w:rsidP="00AA763D">
      <w:pPr>
        <w:rPr>
          <w:rFonts w:cs="Arial"/>
        </w:rPr>
      </w:pPr>
    </w:p>
    <w:p w14:paraId="5D7614EA" w14:textId="77777777" w:rsidR="008A7B88" w:rsidRDefault="008A7B88" w:rsidP="00AA763D">
      <w:pPr>
        <w:rPr>
          <w:rFonts w:cs="Arial"/>
        </w:rPr>
      </w:pPr>
    </w:p>
    <w:p w14:paraId="5971F0A8" w14:textId="05966351" w:rsidR="004566E3" w:rsidRPr="00880945" w:rsidRDefault="004566E3" w:rsidP="00AA763D"/>
    <w:sectPr w:rsidR="004566E3" w:rsidRPr="00880945" w:rsidSect="007C00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851" w:bottom="1134" w:left="1134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E466" w14:textId="77777777" w:rsidR="00B75E88" w:rsidRDefault="00B75E88">
      <w:r>
        <w:separator/>
      </w:r>
    </w:p>
  </w:endnote>
  <w:endnote w:type="continuationSeparator" w:id="0">
    <w:p w14:paraId="18234CF7" w14:textId="77777777" w:rsidR="00B75E88" w:rsidRDefault="00B7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36488275"/>
      <w:docPartObj>
        <w:docPartGallery w:val="Page Numbers (Bottom of Page)"/>
        <w:docPartUnique/>
      </w:docPartObj>
    </w:sdtPr>
    <w:sdtEndPr/>
    <w:sdtContent>
      <w:p w14:paraId="6F693FF0" w14:textId="3D884027" w:rsidR="00276B15" w:rsidRPr="00283379" w:rsidRDefault="00276B15">
        <w:pPr>
          <w:pStyle w:val="a4"/>
          <w:jc w:val="right"/>
          <w:rPr>
            <w:sz w:val="16"/>
            <w:szCs w:val="16"/>
          </w:rPr>
        </w:pPr>
        <w:r w:rsidRPr="00283379">
          <w:rPr>
            <w:sz w:val="16"/>
            <w:szCs w:val="16"/>
          </w:rPr>
          <w:fldChar w:fldCharType="begin"/>
        </w:r>
        <w:r w:rsidRPr="00283379">
          <w:rPr>
            <w:sz w:val="16"/>
            <w:szCs w:val="16"/>
          </w:rPr>
          <w:instrText xml:space="preserve"> PAGE   \* MERGEFORMAT </w:instrText>
        </w:r>
        <w:r w:rsidRPr="00283379">
          <w:rPr>
            <w:sz w:val="16"/>
            <w:szCs w:val="16"/>
          </w:rPr>
          <w:fldChar w:fldCharType="separate"/>
        </w:r>
        <w:r w:rsidR="004261C1">
          <w:rPr>
            <w:noProof/>
            <w:sz w:val="16"/>
            <w:szCs w:val="16"/>
          </w:rPr>
          <w:t>3</w:t>
        </w:r>
        <w:r w:rsidRPr="00283379">
          <w:rPr>
            <w:sz w:val="16"/>
            <w:szCs w:val="16"/>
          </w:rPr>
          <w:fldChar w:fldCharType="end"/>
        </w:r>
      </w:p>
    </w:sdtContent>
  </w:sdt>
  <w:p w14:paraId="33C6C26A" w14:textId="77777777" w:rsidR="00276B15" w:rsidRDefault="00276B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FBE7" w14:textId="77777777" w:rsidR="00CE23D9" w:rsidRDefault="00CE23D9" w:rsidP="00A7172C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eastAsia="Calibri" w:cs="Arial"/>
        <w:sz w:val="16"/>
        <w:szCs w:val="20"/>
        <w:lang w:eastAsia="en-US"/>
      </w:rPr>
    </w:pPr>
  </w:p>
  <w:tbl>
    <w:tblPr>
      <w:tblStyle w:val="a7"/>
      <w:tblW w:w="11766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6"/>
    </w:tblGrid>
    <w:tr w:rsidR="00603F5C" w14:paraId="3B23E368" w14:textId="77777777" w:rsidTr="007C0031">
      <w:trPr>
        <w:trHeight w:val="1180"/>
      </w:trPr>
      <w:tc>
        <w:tcPr>
          <w:tcW w:w="11766" w:type="dxa"/>
        </w:tcPr>
        <w:p w14:paraId="5BFAAF4C" w14:textId="77777777" w:rsidR="00603F5C" w:rsidRDefault="00603F5C" w:rsidP="00270F44">
          <w:pPr>
            <w:pBdr>
              <w:between w:val="single" w:sz="4" w:space="1" w:color="auto"/>
              <w:bar w:val="single" w:sz="4" w:color="auto"/>
            </w:pBdr>
            <w:suppressAutoHyphens/>
            <w:autoSpaceDE w:val="0"/>
            <w:autoSpaceDN w:val="0"/>
            <w:adjustRightInd w:val="0"/>
            <w:spacing w:line="288" w:lineRule="auto"/>
            <w:textAlignment w:val="center"/>
            <w:rPr>
              <w:rFonts w:eastAsia="Calibri" w:cs="Arial"/>
              <w:sz w:val="16"/>
              <w:szCs w:val="20"/>
              <w:lang w:eastAsia="en-US"/>
            </w:rPr>
          </w:pPr>
        </w:p>
      </w:tc>
    </w:tr>
  </w:tbl>
  <w:p w14:paraId="6AD7DCBA" w14:textId="77777777" w:rsidR="0088309C" w:rsidRPr="005030B4" w:rsidRDefault="0088309C" w:rsidP="00270F44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textAlignment w:val="center"/>
      <w:rPr>
        <w:rFonts w:eastAsia="Calibri" w:cs="Arial"/>
        <w:sz w:val="16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3FDE" w14:textId="77777777" w:rsidR="00B75E88" w:rsidRDefault="00B75E88">
      <w:r>
        <w:separator/>
      </w:r>
    </w:p>
  </w:footnote>
  <w:footnote w:type="continuationSeparator" w:id="0">
    <w:p w14:paraId="78DEE7D8" w14:textId="77777777" w:rsidR="00B75E88" w:rsidRDefault="00B7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20EF" w14:textId="7865F353" w:rsidR="004566E3" w:rsidRDefault="00100B75" w:rsidP="004566E3">
    <w:r>
      <w:rPr>
        <w:noProof/>
      </w:rPr>
      <w:drawing>
        <wp:anchor distT="0" distB="0" distL="114300" distR="114300" simplePos="0" relativeHeight="251663360" behindDoc="0" locked="0" layoutInCell="1" allowOverlap="1" wp14:anchorId="52902156" wp14:editId="7A34A25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6955" cy="631825"/>
          <wp:effectExtent l="0" t="0" r="0" b="0"/>
          <wp:wrapNone/>
          <wp:docPr id="6" name="Рисунок 6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EC21D3" w14:textId="3F3D993A" w:rsidR="004566E3" w:rsidRDefault="004566E3" w:rsidP="004566E3"/>
  <w:p w14:paraId="392C0A41" w14:textId="22A901C0" w:rsidR="00100B75" w:rsidRDefault="00100B75" w:rsidP="004566E3"/>
  <w:p w14:paraId="48B4F086" w14:textId="0B048C89" w:rsidR="00100B75" w:rsidRDefault="00100B75" w:rsidP="004566E3"/>
  <w:p w14:paraId="51CDCC60" w14:textId="03057E82" w:rsidR="00100B75" w:rsidRDefault="00100B75" w:rsidP="004566E3"/>
  <w:p w14:paraId="04D2FFF2" w14:textId="77777777" w:rsidR="00100B75" w:rsidRDefault="00100B75" w:rsidP="004566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23"/>
    </w:tblGrid>
    <w:tr w:rsidR="00AA763D" w:rsidRPr="002809B9" w14:paraId="0C279CAD" w14:textId="77777777" w:rsidTr="00F84AA0">
      <w:trPr>
        <w:trHeight w:hRule="exact" w:val="993"/>
      </w:trPr>
      <w:tc>
        <w:tcPr>
          <w:tcW w:w="9923" w:type="dxa"/>
        </w:tcPr>
        <w:p w14:paraId="58CC5C3F" w14:textId="1DF5DDFA" w:rsidR="00AA763D" w:rsidRDefault="00100B75" w:rsidP="00AA763D">
          <w:pPr>
            <w:tabs>
              <w:tab w:val="right" w:pos="9385"/>
            </w:tabs>
          </w:pP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C08DC1C" wp14:editId="15BACA28">
                    <wp:simplePos x="0" y="0"/>
                    <wp:positionH relativeFrom="margin">
                      <wp:posOffset>4433570</wp:posOffset>
                    </wp:positionH>
                    <wp:positionV relativeFrom="paragraph">
                      <wp:posOffset>23932</wp:posOffset>
                    </wp:positionV>
                    <wp:extent cx="1967230" cy="632460"/>
                    <wp:effectExtent l="0" t="0" r="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67230" cy="632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CEAA0B" w14:textId="77777777" w:rsidR="00100B75" w:rsidRPr="005D32A2" w:rsidRDefault="00100B75" w:rsidP="00100B75">
                                <w:pPr>
                                  <w:jc w:val="both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Тел./факс    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                </w:t>
                                </w: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+375 (17) 355-42-23</w:t>
                                </w:r>
                              </w:p>
                              <w:p w14:paraId="675E666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         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+375 (29) 662-52-23</w:t>
                                </w:r>
                              </w:p>
                              <w:p w14:paraId="2B8B414E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              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+375 (33) 352-52-23</w:t>
                                </w:r>
                              </w:p>
                              <w:p w14:paraId="1855168B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Интернет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5D32A2">
                                  <w:rPr>
                                    <w:sz w:val="14"/>
                                    <w:szCs w:val="14"/>
                                    <w:lang w:val="de-DE"/>
                                  </w:rPr>
                                  <w:t>fbk@fbk.by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>|</w:t>
                                </w: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hyperlink r:id="rId1" w:history="1"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www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spellStart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fbk</w:t>
                                  </w:r>
                                  <w:proofErr w:type="spellEnd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by</w:t>
                                  </w:r>
                                </w:hyperlink>
                              </w:p>
                              <w:p w14:paraId="134E97BC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91FB47A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05B9A77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541A185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E806DA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1DE407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08DC1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349.1pt;margin-top:1.9pt;width:154.9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MoQwIAAFcEAAAOAAAAZHJzL2Uyb0RvYy54bWysVL1u2zAQ3gv0HQjutWzHcRrBcuAmcFHA&#10;SAI4RWaaIi0BFI8laUvu1r2v0Hfo0KFbX8F5ox4p2THSTkUX6sg73s/3fdTkqqkU2QrrStAZHfT6&#10;lAjNIS/1OqMfH+Zv3lLiPNM5U6BFRnfC0avp61eT2qRiCAWoXFiCSbRLa5PRwnuTJonjhaiY64ER&#10;Gp0SbMU8bu06yS2rMXulkmG/P05qsLmxwIVzeHrTOuk05pdScH8npROeqIxibz6uNq6rsCbTCUvX&#10;lpmi5F0b7B+6qFipsegx1Q3zjGxs+UeqquQWHEjf41AlIGXJRZwBpxn0X0yzLJgRcRYEx5kjTO7/&#10;peW323tLyhy5o0SzCinaf9t/3//Y/9r/fPry9JUMAka1cSmGLg0G++YdNCG+O3d4GEZvpK3CF4ci&#10;6Ee0d0eEReMJD5cuxxfDM3Rx9I3PhqNxpCB5vm2s8+8FVCQYGbXIYASWbRfOY0UMPYSEYhrmpVKR&#10;RaVJHZKe9+OFowdvKI0Xwwxtr8HyzarpBlhBvsO5LLTqcIbPSyy+YM7fM4tywH5R4v4OF6kAi0Bn&#10;UVKA/fy38xCPLKGXkhrllVH3acOsoER90Mjf5WA0CnqMm9H5xRA39tSzOvXoTXUNqGDkCLuLZoj3&#10;6mBKC9UjvoRZqIoupjnWzqg/mNe+FT2+JC5msxiECjTML/TS8JA6wBmgfWgemTUd/h6Zu4WDEFn6&#10;goY2tiVitvEgy8hRALhFtcMd1Rup615aeB6n+xj1/D+Y/gYAAP//AwBQSwMEFAAGAAgAAAAhAEG1&#10;RQjgAAAACgEAAA8AAABkcnMvZG93bnJldi54bWxMj8FOwzAQRO9I/IO1SNyoTQpVSONUVaQKCcGh&#10;pRdum9hNotrrELtt4OtxTuW2oxnNzstXozXsrAffOZLwOBPANNVOddRI2H9uHlJgPiApNI60hB/t&#10;YVXc3uSYKXehrT7vQsNiCfkMJbQh9Bnnvm61RT9zvaboHdxgMUQ5NFwNeInl1vBEiAW32FH80GKv&#10;y1bXx93JSngrNx+4rRKb/pry9f2w7r/3X89S3t+N6yWwoMdwDcM0P06HIm6q3ImUZ0bC4iVNYlTC&#10;PBJMvhBphKuma/4EvMj5f4TiDwAA//8DAFBLAQItABQABgAIAAAAIQC2gziS/gAAAOEBAAATAAAA&#10;AAAAAAAAAAAAAAAAAABbQ29udGVudF9UeXBlc10ueG1sUEsBAi0AFAAGAAgAAAAhADj9If/WAAAA&#10;lAEAAAsAAAAAAAAAAAAAAAAALwEAAF9yZWxzLy5yZWxzUEsBAi0AFAAGAAgAAAAhAHeU4yhDAgAA&#10;VwQAAA4AAAAAAAAAAAAAAAAALgIAAGRycy9lMm9Eb2MueG1sUEsBAi0AFAAGAAgAAAAhAEG1RQjg&#10;AAAACgEAAA8AAAAAAAAAAAAAAAAAnQQAAGRycy9kb3ducmV2LnhtbFBLBQYAAAAABAAEAPMAAACq&#10;BQAAAAA=&#10;" filled="f" stroked="f" strokeweight=".5pt">
                    <v:textbox>
                      <w:txbxContent>
                        <w:p w14:paraId="64CEAA0B" w14:textId="77777777" w:rsidR="00100B75" w:rsidRPr="005D32A2" w:rsidRDefault="00100B75" w:rsidP="00100B75">
                          <w:pPr>
                            <w:jc w:val="both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Тел./факс   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+375 (17) 355-42-23</w:t>
                          </w:r>
                        </w:p>
                        <w:p w14:paraId="675E666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         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+375 (29) 662-52-23</w:t>
                          </w:r>
                        </w:p>
                        <w:p w14:paraId="2B8B414E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              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+375 (33) 352-52-23</w:t>
                          </w:r>
                        </w:p>
                        <w:p w14:paraId="1855168B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Интернет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sz w:val="14"/>
                              <w:szCs w:val="14"/>
                              <w:lang w:val="de-DE"/>
                            </w:rPr>
                            <w:t>fbk@fbk.by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>|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hyperlink r:id="rId2" w:history="1"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fbk</w:t>
                            </w:r>
                            <w:proofErr w:type="spellEnd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by</w:t>
                            </w:r>
                          </w:hyperlink>
                        </w:p>
                        <w:p w14:paraId="134E97BC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491FB47A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605B9A77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3541A185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E806DA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1DE407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EB522B" wp14:editId="176D16EF">
                    <wp:simplePos x="0" y="0"/>
                    <wp:positionH relativeFrom="column">
                      <wp:posOffset>2334260</wp:posOffset>
                    </wp:positionH>
                    <wp:positionV relativeFrom="paragraph">
                      <wp:posOffset>18027</wp:posOffset>
                    </wp:positionV>
                    <wp:extent cx="2334260" cy="893445"/>
                    <wp:effectExtent l="0" t="0" r="0" b="1905"/>
                    <wp:wrapNone/>
                    <wp:docPr id="15" name="Надпись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4260" cy="893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0698CE" w14:textId="77777777" w:rsidR="00100B75" w:rsidRPr="009646EA" w:rsidRDefault="00100B75" w:rsidP="00100B75">
                                <w:pPr>
                                  <w:spacing w:line="360" w:lineRule="auto"/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</w:pPr>
                                <w:r w:rsidRPr="009646EA"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  <w:t xml:space="preserve">ООО «ФБК-Бел»                 </w:t>
                                </w:r>
                              </w:p>
                              <w:p w14:paraId="482117CA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тракт Логойский, 22А, пом. 201-1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  <w:p w14:paraId="389A6B1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>220090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 xml:space="preserve"> | </w:t>
                                </w: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Минск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pacing w:val="4"/>
                                    <w:sz w:val="14"/>
                                    <w:szCs w:val="14"/>
                                  </w:rPr>
                                  <w:t xml:space="preserve">|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>Беларусь</w:t>
                                </w:r>
                              </w:p>
                              <w:p w14:paraId="170B0881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</w:rPr>
                                  <w:t>УНП</w:t>
                                </w: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690398039 </w:t>
                                </w:r>
                              </w:p>
                              <w:p w14:paraId="1D520AB7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F71DDC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E5515B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12E2CC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03778890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BBEA26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482E38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7B682133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EB522B" id="Надпись 15" o:spid="_x0000_s1027" type="#_x0000_t202" style="position:absolute;margin-left:183.8pt;margin-top:1.4pt;width:183.8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CZSQIAAGAEAAAOAAAAZHJzL2Uyb0RvYy54bWysVEtu2zAQ3RfoHQjuG/nfxLAcuAlSFAiS&#10;AE6RNU1RtgCJw5K0pXTXfa/QO3TRRXe9gnOjPlK2Y6RdFd1QQ76Z4cx7Q03Om6pkG2VdQTrl3ZMO&#10;Z0pLygq9TPnH+6s3p5w5L3QmStIq5Y/K8fPp61eT2oxVj1ZUZsoyJNFuXJuUr7w34yRxcqUq4U7I&#10;KA0wJ1sJj61dJpkVNbJXZdLrdEZJTTYzlqRyDqeXLcinMX+eK+lv89wpz8qUozYfVxvXRViT6USM&#10;l1aYVSF3ZYh/qKIShcalh1SXwgu2tsUfqapCWnKU+xNJVUJ5XkgVe0A33c6LbuYrYVTsBeQ4c6DJ&#10;/b+08mZzZ1mRQbshZ1pU0Gj7bft9+2P7a/vz6cvTVwYALNXGjeE8N3D3zTtqELE/dzgMzTe5rcIX&#10;bTHg4PvxwLFqPJM47PX7g94IkAR2etYfDGL65DnaWOffK6pYMFJuoWGkVmyunUclcN27hMs0XRVl&#10;GXUsNatTPuoPOzHggCCi1AgMPbS1Bss3i6btfN/HgrJHtGepHRNn5FWBGq6F83fCYi5QNmbd32LJ&#10;S8JdtLM4W5H9/Lfz4A+5gHJWY85S7j6thVWclR80hDzrDgZhMONmMHzbw8YeI4tjRK+rC8Iod/Gq&#10;jIxm8Pfl3swtVQ94ErNwKyChJe5Oud+bF76dfjwpqWaz6IRRNMJf67mRIXVgNTB83zwIa3YyeAh4&#10;Q/uJFOMXarS+rR6ztae8iFIFnltWd/RjjKOCuycX3snxPno9/ximvwEAAP//AwBQSwMEFAAGAAgA&#10;AAAhAJiCLNLgAAAACQEAAA8AAABkcnMvZG93bnJldi54bWxMj0FPg0AQhe8m/ofNmHiziyC0QZam&#10;IWlMjB5ae/E2sFMgsrvIblv01zue9Dh5X958r1jPZhBnmnzvrIL7RQSCbON0b1sFh7ft3QqED2g1&#10;Ds6Sgi/ysC6vrwrMtbvYHZ33oRVcYn2OCroQxlxK33Rk0C/cSJazo5sMBj6nVuoJL1xuBhlHUSYN&#10;9pY/dDhS1VHzsT8ZBc/V9hV3dWxW30P19HLcjJ+H91Sp25t58wgi0Bz+YPjVZ3Uo2al2J6u9GBQk&#10;2TJjVEHMCzhfJmkMombwIUlBloX8v6D8AQAA//8DAFBLAQItABQABgAIAAAAIQC2gziS/gAAAOEB&#10;AAATAAAAAAAAAAAAAAAAAAAAAABbQ29udGVudF9UeXBlc10ueG1sUEsBAi0AFAAGAAgAAAAhADj9&#10;If/WAAAAlAEAAAsAAAAAAAAAAAAAAAAALwEAAF9yZWxzLy5yZWxzUEsBAi0AFAAGAAgAAAAhAIbo&#10;MJlJAgAAYAQAAA4AAAAAAAAAAAAAAAAALgIAAGRycy9lMm9Eb2MueG1sUEsBAi0AFAAGAAgAAAAh&#10;AJiCLNLgAAAACQEAAA8AAAAAAAAAAAAAAAAAowQAAGRycy9kb3ducmV2LnhtbFBLBQYAAAAABAAE&#10;APMAAACwBQAAAAA=&#10;" filled="f" stroked="f" strokeweight=".5pt">
                    <v:textbox>
                      <w:txbxContent>
                        <w:p w14:paraId="700698CE" w14:textId="77777777" w:rsidR="00100B75" w:rsidRPr="009646EA" w:rsidRDefault="00100B75" w:rsidP="00100B75">
                          <w:pPr>
                            <w:spacing w:line="360" w:lineRule="auto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9646EA"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  <w:t xml:space="preserve">ООО «ФБК-Бел»                 </w:t>
                          </w:r>
                        </w:p>
                        <w:p w14:paraId="482117CA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тракт Логойский, 22А, пом. 201-1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389A6B1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>220090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 xml:space="preserve">Минск </w:t>
                          </w:r>
                          <w:r w:rsidRPr="005D32A2">
                            <w:rPr>
                              <w:rFonts w:cs="Arial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>Беларусь</w:t>
                          </w:r>
                        </w:p>
                        <w:p w14:paraId="170B0881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</w:rPr>
                            <w:t>УНП</w:t>
                          </w: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  <w:lang w:val="en-US"/>
                            </w:rPr>
                            <w:t xml:space="preserve"> 690398039 </w:t>
                          </w:r>
                        </w:p>
                        <w:p w14:paraId="1D520AB7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6F71DDC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7E5515B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212E2CC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3778890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1BBEA26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482E38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B682133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DA9A47" wp14:editId="20EAA24E">
                <wp:simplePos x="0" y="0"/>
                <wp:positionH relativeFrom="column">
                  <wp:posOffset>3810</wp:posOffset>
                </wp:positionH>
                <wp:positionV relativeFrom="paragraph">
                  <wp:posOffset>19487</wp:posOffset>
                </wp:positionV>
                <wp:extent cx="1036955" cy="631825"/>
                <wp:effectExtent l="0" t="0" r="0" b="0"/>
                <wp:wrapNone/>
                <wp:docPr id="5" name="Рисунок 5" descr="Logo_FBK-Bel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BK-Bel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A763D">
            <w:tab/>
          </w:r>
        </w:p>
        <w:p w14:paraId="32FBC8B6" w14:textId="3A02D91D" w:rsidR="00AA763D" w:rsidRDefault="00AA763D" w:rsidP="00BC1189"/>
        <w:p w14:paraId="004FB035" w14:textId="77777777" w:rsidR="00AA763D" w:rsidRDefault="00AA763D" w:rsidP="00BC1189"/>
      </w:tc>
    </w:tr>
  </w:tbl>
  <w:p w14:paraId="66B24DE5" w14:textId="4A89A7C4" w:rsidR="004E2C81" w:rsidRPr="00AA763D" w:rsidRDefault="00AA763D" w:rsidP="00AA763D">
    <w:pPr>
      <w:pStyle w:val="a3"/>
    </w:pPr>
    <w:r w:rsidRPr="0088309C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BFC"/>
    <w:multiLevelType w:val="hybridMultilevel"/>
    <w:tmpl w:val="4CF4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654"/>
    <w:multiLevelType w:val="hybridMultilevel"/>
    <w:tmpl w:val="6ED8E626"/>
    <w:lvl w:ilvl="0" w:tplc="D4F8A5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F2AF122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070E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7E6110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F4EC0B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1AC381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1AEAC8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E304F6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69208DF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47A3E"/>
    <w:multiLevelType w:val="hybridMultilevel"/>
    <w:tmpl w:val="4C40A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74F7"/>
    <w:multiLevelType w:val="hybridMultilevel"/>
    <w:tmpl w:val="0E10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1F2E"/>
    <w:multiLevelType w:val="hybridMultilevel"/>
    <w:tmpl w:val="A7F60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C04"/>
    <w:multiLevelType w:val="multilevel"/>
    <w:tmpl w:val="91A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75A4F"/>
    <w:multiLevelType w:val="hybridMultilevel"/>
    <w:tmpl w:val="8214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066"/>
    <w:multiLevelType w:val="hybridMultilevel"/>
    <w:tmpl w:val="DBDC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E0070"/>
    <w:multiLevelType w:val="hybridMultilevel"/>
    <w:tmpl w:val="EAD6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8CC"/>
    <w:multiLevelType w:val="hybridMultilevel"/>
    <w:tmpl w:val="B0844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7186"/>
    <w:multiLevelType w:val="hybridMultilevel"/>
    <w:tmpl w:val="CF08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153F"/>
    <w:multiLevelType w:val="hybridMultilevel"/>
    <w:tmpl w:val="730E446A"/>
    <w:lvl w:ilvl="0" w:tplc="0B2286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0F3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6036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B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66E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6831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094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069B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E8D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491F"/>
    <w:multiLevelType w:val="hybridMultilevel"/>
    <w:tmpl w:val="8E1E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5910"/>
    <w:multiLevelType w:val="hybridMultilevel"/>
    <w:tmpl w:val="89AABEA0"/>
    <w:lvl w:ilvl="0" w:tplc="A3EC37F4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E1877"/>
    <w:multiLevelType w:val="hybridMultilevel"/>
    <w:tmpl w:val="98068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4FE5"/>
    <w:multiLevelType w:val="hybridMultilevel"/>
    <w:tmpl w:val="ACE8B278"/>
    <w:lvl w:ilvl="0" w:tplc="36F60262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949D2"/>
    <w:multiLevelType w:val="hybridMultilevel"/>
    <w:tmpl w:val="671A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C7572"/>
    <w:multiLevelType w:val="hybridMultilevel"/>
    <w:tmpl w:val="EFB81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1257F"/>
    <w:multiLevelType w:val="multilevel"/>
    <w:tmpl w:val="4ADA072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3BA64E3"/>
    <w:multiLevelType w:val="multilevel"/>
    <w:tmpl w:val="241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5310D"/>
    <w:multiLevelType w:val="hybridMultilevel"/>
    <w:tmpl w:val="E5381846"/>
    <w:lvl w:ilvl="0" w:tplc="9A683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06A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DE8A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56B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E621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EBA92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1EB2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952D1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3303E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7"/>
  </w:num>
  <w:num w:numId="10">
    <w:abstractNumId w:val="9"/>
  </w:num>
  <w:num w:numId="11">
    <w:abstractNumId w:val="11"/>
  </w:num>
  <w:num w:numId="12">
    <w:abstractNumId w:val="0"/>
  </w:num>
  <w:num w:numId="13">
    <w:abstractNumId w:val="3"/>
  </w:num>
  <w:num w:numId="14">
    <w:abstractNumId w:val="4"/>
  </w:num>
  <w:num w:numId="15">
    <w:abstractNumId w:val="6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1"/>
  </w:num>
  <w:num w:numId="21">
    <w:abstractNumId w:val="21"/>
  </w:num>
  <w:num w:numId="22">
    <w:abstractNumId w:val="10"/>
  </w:num>
  <w:num w:numId="23">
    <w:abstractNumId w:val="18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8C"/>
    <w:rsid w:val="00006932"/>
    <w:rsid w:val="00017614"/>
    <w:rsid w:val="00017F64"/>
    <w:rsid w:val="00023CBE"/>
    <w:rsid w:val="00026023"/>
    <w:rsid w:val="00031308"/>
    <w:rsid w:val="00044676"/>
    <w:rsid w:val="00046D65"/>
    <w:rsid w:val="00046EB3"/>
    <w:rsid w:val="00052A92"/>
    <w:rsid w:val="000611A1"/>
    <w:rsid w:val="00063855"/>
    <w:rsid w:val="0006510F"/>
    <w:rsid w:val="00066AB6"/>
    <w:rsid w:val="00071691"/>
    <w:rsid w:val="000725C9"/>
    <w:rsid w:val="00082BA6"/>
    <w:rsid w:val="00082CA4"/>
    <w:rsid w:val="00086EDA"/>
    <w:rsid w:val="0009677A"/>
    <w:rsid w:val="000A08E9"/>
    <w:rsid w:val="000B354C"/>
    <w:rsid w:val="000C1AF6"/>
    <w:rsid w:val="000C647C"/>
    <w:rsid w:val="000C6B5A"/>
    <w:rsid w:val="000D0DFA"/>
    <w:rsid w:val="000D1474"/>
    <w:rsid w:val="000D690E"/>
    <w:rsid w:val="000E1E64"/>
    <w:rsid w:val="000E7644"/>
    <w:rsid w:val="000F520E"/>
    <w:rsid w:val="00100B75"/>
    <w:rsid w:val="00103B99"/>
    <w:rsid w:val="00104A6F"/>
    <w:rsid w:val="00106385"/>
    <w:rsid w:val="001107FA"/>
    <w:rsid w:val="001155F2"/>
    <w:rsid w:val="00125752"/>
    <w:rsid w:val="001314E2"/>
    <w:rsid w:val="00164A0E"/>
    <w:rsid w:val="00177272"/>
    <w:rsid w:val="00182122"/>
    <w:rsid w:val="00183841"/>
    <w:rsid w:val="00190DD7"/>
    <w:rsid w:val="001A1E9C"/>
    <w:rsid w:val="001C453E"/>
    <w:rsid w:val="001C63ED"/>
    <w:rsid w:val="001D60AD"/>
    <w:rsid w:val="001F44E9"/>
    <w:rsid w:val="00221FE1"/>
    <w:rsid w:val="00225018"/>
    <w:rsid w:val="002421F9"/>
    <w:rsid w:val="00242B41"/>
    <w:rsid w:val="00244DF0"/>
    <w:rsid w:val="00244FD4"/>
    <w:rsid w:val="002610AF"/>
    <w:rsid w:val="00266446"/>
    <w:rsid w:val="002704F8"/>
    <w:rsid w:val="00270F44"/>
    <w:rsid w:val="00276B15"/>
    <w:rsid w:val="002800DE"/>
    <w:rsid w:val="002809B9"/>
    <w:rsid w:val="00283379"/>
    <w:rsid w:val="00285DFD"/>
    <w:rsid w:val="00287C55"/>
    <w:rsid w:val="0029504B"/>
    <w:rsid w:val="002A1F28"/>
    <w:rsid w:val="002A38C5"/>
    <w:rsid w:val="002A5824"/>
    <w:rsid w:val="002B07D3"/>
    <w:rsid w:val="002B24C0"/>
    <w:rsid w:val="002B5E94"/>
    <w:rsid w:val="002C18C1"/>
    <w:rsid w:val="002E333F"/>
    <w:rsid w:val="002E5640"/>
    <w:rsid w:val="002F2B0A"/>
    <w:rsid w:val="002F4B0A"/>
    <w:rsid w:val="00322070"/>
    <w:rsid w:val="0032798D"/>
    <w:rsid w:val="00332075"/>
    <w:rsid w:val="003324C2"/>
    <w:rsid w:val="003376A3"/>
    <w:rsid w:val="0034532A"/>
    <w:rsid w:val="00357D06"/>
    <w:rsid w:val="00361574"/>
    <w:rsid w:val="0036271C"/>
    <w:rsid w:val="003660CC"/>
    <w:rsid w:val="00373DA6"/>
    <w:rsid w:val="00376D4B"/>
    <w:rsid w:val="00384E83"/>
    <w:rsid w:val="003911C4"/>
    <w:rsid w:val="0039200C"/>
    <w:rsid w:val="0039599B"/>
    <w:rsid w:val="00395FDE"/>
    <w:rsid w:val="003977C1"/>
    <w:rsid w:val="003A0ADC"/>
    <w:rsid w:val="003A35A7"/>
    <w:rsid w:val="003B1255"/>
    <w:rsid w:val="003B5DA1"/>
    <w:rsid w:val="003B6662"/>
    <w:rsid w:val="003C5EF2"/>
    <w:rsid w:val="003C7816"/>
    <w:rsid w:val="003D51D3"/>
    <w:rsid w:val="003E2B65"/>
    <w:rsid w:val="003F4368"/>
    <w:rsid w:val="00406B78"/>
    <w:rsid w:val="00413FCA"/>
    <w:rsid w:val="004147BC"/>
    <w:rsid w:val="00417E5E"/>
    <w:rsid w:val="00425825"/>
    <w:rsid w:val="004261C1"/>
    <w:rsid w:val="00430A47"/>
    <w:rsid w:val="0043176B"/>
    <w:rsid w:val="00432410"/>
    <w:rsid w:val="004404CD"/>
    <w:rsid w:val="00446229"/>
    <w:rsid w:val="0044690B"/>
    <w:rsid w:val="00450AB1"/>
    <w:rsid w:val="00451AA1"/>
    <w:rsid w:val="00451AC9"/>
    <w:rsid w:val="004528E5"/>
    <w:rsid w:val="00455E24"/>
    <w:rsid w:val="004566E3"/>
    <w:rsid w:val="00460DFC"/>
    <w:rsid w:val="00461FF7"/>
    <w:rsid w:val="00467E4E"/>
    <w:rsid w:val="00471FFF"/>
    <w:rsid w:val="00480291"/>
    <w:rsid w:val="00480772"/>
    <w:rsid w:val="00481174"/>
    <w:rsid w:val="00482E38"/>
    <w:rsid w:val="004961A0"/>
    <w:rsid w:val="004A0428"/>
    <w:rsid w:val="004A113B"/>
    <w:rsid w:val="004A1A28"/>
    <w:rsid w:val="004A3EA8"/>
    <w:rsid w:val="004C16B7"/>
    <w:rsid w:val="004D728B"/>
    <w:rsid w:val="004D7E01"/>
    <w:rsid w:val="004E2C81"/>
    <w:rsid w:val="004E357F"/>
    <w:rsid w:val="004E3A68"/>
    <w:rsid w:val="004F05DB"/>
    <w:rsid w:val="004F22DF"/>
    <w:rsid w:val="005003E6"/>
    <w:rsid w:val="005030B4"/>
    <w:rsid w:val="00504B74"/>
    <w:rsid w:val="0050584E"/>
    <w:rsid w:val="00505A6F"/>
    <w:rsid w:val="00505E11"/>
    <w:rsid w:val="00511CE0"/>
    <w:rsid w:val="00514677"/>
    <w:rsid w:val="00517273"/>
    <w:rsid w:val="00520264"/>
    <w:rsid w:val="005264BC"/>
    <w:rsid w:val="005460EC"/>
    <w:rsid w:val="0055061E"/>
    <w:rsid w:val="005545DD"/>
    <w:rsid w:val="00555305"/>
    <w:rsid w:val="00555498"/>
    <w:rsid w:val="00556A7C"/>
    <w:rsid w:val="005624F5"/>
    <w:rsid w:val="00564FD9"/>
    <w:rsid w:val="00567777"/>
    <w:rsid w:val="00575DCF"/>
    <w:rsid w:val="00587C1D"/>
    <w:rsid w:val="00591411"/>
    <w:rsid w:val="00593DD4"/>
    <w:rsid w:val="005A16EB"/>
    <w:rsid w:val="005B04BB"/>
    <w:rsid w:val="005B5CD6"/>
    <w:rsid w:val="005B6558"/>
    <w:rsid w:val="005C09C1"/>
    <w:rsid w:val="005C5782"/>
    <w:rsid w:val="005C69F6"/>
    <w:rsid w:val="005C7148"/>
    <w:rsid w:val="005C7911"/>
    <w:rsid w:val="005C79E8"/>
    <w:rsid w:val="005D218E"/>
    <w:rsid w:val="005D2932"/>
    <w:rsid w:val="005D32A2"/>
    <w:rsid w:val="005D3C22"/>
    <w:rsid w:val="005D5B44"/>
    <w:rsid w:val="005E40CA"/>
    <w:rsid w:val="005F68F3"/>
    <w:rsid w:val="006014C3"/>
    <w:rsid w:val="006029DE"/>
    <w:rsid w:val="00603F5C"/>
    <w:rsid w:val="00612EAE"/>
    <w:rsid w:val="00614719"/>
    <w:rsid w:val="00623D87"/>
    <w:rsid w:val="00625228"/>
    <w:rsid w:val="00627557"/>
    <w:rsid w:val="0063045E"/>
    <w:rsid w:val="0063227D"/>
    <w:rsid w:val="00636996"/>
    <w:rsid w:val="006453C0"/>
    <w:rsid w:val="00664CC6"/>
    <w:rsid w:val="006708E7"/>
    <w:rsid w:val="006768D0"/>
    <w:rsid w:val="0068787D"/>
    <w:rsid w:val="00696115"/>
    <w:rsid w:val="006A7615"/>
    <w:rsid w:val="006C1B5D"/>
    <w:rsid w:val="006D76E6"/>
    <w:rsid w:val="006F1634"/>
    <w:rsid w:val="006F7848"/>
    <w:rsid w:val="00703D15"/>
    <w:rsid w:val="00704517"/>
    <w:rsid w:val="00710770"/>
    <w:rsid w:val="007111D4"/>
    <w:rsid w:val="007121FE"/>
    <w:rsid w:val="00712A47"/>
    <w:rsid w:val="00714D33"/>
    <w:rsid w:val="007166C1"/>
    <w:rsid w:val="0072045E"/>
    <w:rsid w:val="0072558C"/>
    <w:rsid w:val="00727623"/>
    <w:rsid w:val="0073044B"/>
    <w:rsid w:val="00730599"/>
    <w:rsid w:val="00731C36"/>
    <w:rsid w:val="00732D6F"/>
    <w:rsid w:val="00750CE1"/>
    <w:rsid w:val="00774209"/>
    <w:rsid w:val="00775B09"/>
    <w:rsid w:val="00782817"/>
    <w:rsid w:val="0079019D"/>
    <w:rsid w:val="007A1FEA"/>
    <w:rsid w:val="007B18B0"/>
    <w:rsid w:val="007B2D85"/>
    <w:rsid w:val="007C0031"/>
    <w:rsid w:val="007C0B9F"/>
    <w:rsid w:val="007C0E27"/>
    <w:rsid w:val="007D66B2"/>
    <w:rsid w:val="007D7575"/>
    <w:rsid w:val="007E1277"/>
    <w:rsid w:val="007E27A3"/>
    <w:rsid w:val="007F1F21"/>
    <w:rsid w:val="007F2D18"/>
    <w:rsid w:val="00804C8A"/>
    <w:rsid w:val="0082031F"/>
    <w:rsid w:val="00833763"/>
    <w:rsid w:val="00833D56"/>
    <w:rsid w:val="00834940"/>
    <w:rsid w:val="008379C8"/>
    <w:rsid w:val="00843045"/>
    <w:rsid w:val="008523D7"/>
    <w:rsid w:val="0085279F"/>
    <w:rsid w:val="008601A7"/>
    <w:rsid w:val="008641CC"/>
    <w:rsid w:val="00865AC4"/>
    <w:rsid w:val="00875BD3"/>
    <w:rsid w:val="00880945"/>
    <w:rsid w:val="00882146"/>
    <w:rsid w:val="0088309C"/>
    <w:rsid w:val="008857F3"/>
    <w:rsid w:val="00886209"/>
    <w:rsid w:val="00887462"/>
    <w:rsid w:val="00892513"/>
    <w:rsid w:val="00893FAA"/>
    <w:rsid w:val="008A0A38"/>
    <w:rsid w:val="008A4908"/>
    <w:rsid w:val="008A6EA1"/>
    <w:rsid w:val="008A7B88"/>
    <w:rsid w:val="008B04C0"/>
    <w:rsid w:val="008B3B30"/>
    <w:rsid w:val="008B7283"/>
    <w:rsid w:val="008D543A"/>
    <w:rsid w:val="008D6B3A"/>
    <w:rsid w:val="008E2A69"/>
    <w:rsid w:val="008F004E"/>
    <w:rsid w:val="008F48F0"/>
    <w:rsid w:val="008F616C"/>
    <w:rsid w:val="00901132"/>
    <w:rsid w:val="00914E92"/>
    <w:rsid w:val="009240DF"/>
    <w:rsid w:val="00926168"/>
    <w:rsid w:val="00940DE9"/>
    <w:rsid w:val="00945DB2"/>
    <w:rsid w:val="00945F33"/>
    <w:rsid w:val="0095159B"/>
    <w:rsid w:val="00951D2C"/>
    <w:rsid w:val="009564B6"/>
    <w:rsid w:val="00956C85"/>
    <w:rsid w:val="0096157E"/>
    <w:rsid w:val="009646EA"/>
    <w:rsid w:val="00970007"/>
    <w:rsid w:val="00975AB1"/>
    <w:rsid w:val="00991D55"/>
    <w:rsid w:val="009A3440"/>
    <w:rsid w:val="009B405B"/>
    <w:rsid w:val="009B67A4"/>
    <w:rsid w:val="009D7D0F"/>
    <w:rsid w:val="009D7DFB"/>
    <w:rsid w:val="009E35B1"/>
    <w:rsid w:val="009E3B51"/>
    <w:rsid w:val="009E7324"/>
    <w:rsid w:val="009F4DD8"/>
    <w:rsid w:val="00A025A8"/>
    <w:rsid w:val="00A10D87"/>
    <w:rsid w:val="00A112E3"/>
    <w:rsid w:val="00A1506D"/>
    <w:rsid w:val="00A230E5"/>
    <w:rsid w:val="00A259A8"/>
    <w:rsid w:val="00A4333C"/>
    <w:rsid w:val="00A44FC0"/>
    <w:rsid w:val="00A458FC"/>
    <w:rsid w:val="00A64D20"/>
    <w:rsid w:val="00A66474"/>
    <w:rsid w:val="00A67A93"/>
    <w:rsid w:val="00A7172C"/>
    <w:rsid w:val="00A73BF6"/>
    <w:rsid w:val="00A84D0C"/>
    <w:rsid w:val="00A90FBF"/>
    <w:rsid w:val="00A96338"/>
    <w:rsid w:val="00A971F4"/>
    <w:rsid w:val="00AA763D"/>
    <w:rsid w:val="00AB1E9C"/>
    <w:rsid w:val="00AB2E5F"/>
    <w:rsid w:val="00AB531D"/>
    <w:rsid w:val="00AB67C8"/>
    <w:rsid w:val="00AC6AD8"/>
    <w:rsid w:val="00AC6DFB"/>
    <w:rsid w:val="00AD020F"/>
    <w:rsid w:val="00AD14E2"/>
    <w:rsid w:val="00AD2C42"/>
    <w:rsid w:val="00AD5AAB"/>
    <w:rsid w:val="00B108F5"/>
    <w:rsid w:val="00B1265A"/>
    <w:rsid w:val="00B2203B"/>
    <w:rsid w:val="00B30712"/>
    <w:rsid w:val="00B34426"/>
    <w:rsid w:val="00B34B94"/>
    <w:rsid w:val="00B43659"/>
    <w:rsid w:val="00B463E4"/>
    <w:rsid w:val="00B47A02"/>
    <w:rsid w:val="00B51549"/>
    <w:rsid w:val="00B54457"/>
    <w:rsid w:val="00B573DC"/>
    <w:rsid w:val="00B71790"/>
    <w:rsid w:val="00B7319B"/>
    <w:rsid w:val="00B75E88"/>
    <w:rsid w:val="00B84FB5"/>
    <w:rsid w:val="00B90DCB"/>
    <w:rsid w:val="00BA040B"/>
    <w:rsid w:val="00BA3573"/>
    <w:rsid w:val="00BA5480"/>
    <w:rsid w:val="00BB5C18"/>
    <w:rsid w:val="00BB721E"/>
    <w:rsid w:val="00BC0CA3"/>
    <w:rsid w:val="00BC5986"/>
    <w:rsid w:val="00BC5E25"/>
    <w:rsid w:val="00BC72F8"/>
    <w:rsid w:val="00BE0886"/>
    <w:rsid w:val="00BF0809"/>
    <w:rsid w:val="00BF1D23"/>
    <w:rsid w:val="00BF4269"/>
    <w:rsid w:val="00BF43F1"/>
    <w:rsid w:val="00BF5844"/>
    <w:rsid w:val="00C15C09"/>
    <w:rsid w:val="00C17D00"/>
    <w:rsid w:val="00C220F2"/>
    <w:rsid w:val="00C264B9"/>
    <w:rsid w:val="00C3003A"/>
    <w:rsid w:val="00C33C94"/>
    <w:rsid w:val="00C4441C"/>
    <w:rsid w:val="00C51A2A"/>
    <w:rsid w:val="00C562F7"/>
    <w:rsid w:val="00C57E77"/>
    <w:rsid w:val="00C65876"/>
    <w:rsid w:val="00C74901"/>
    <w:rsid w:val="00C758E9"/>
    <w:rsid w:val="00C80773"/>
    <w:rsid w:val="00C91CF0"/>
    <w:rsid w:val="00C94811"/>
    <w:rsid w:val="00CA359F"/>
    <w:rsid w:val="00CA4611"/>
    <w:rsid w:val="00CA46BF"/>
    <w:rsid w:val="00CB1645"/>
    <w:rsid w:val="00CB2BC1"/>
    <w:rsid w:val="00CB318B"/>
    <w:rsid w:val="00CB5AEF"/>
    <w:rsid w:val="00CC6963"/>
    <w:rsid w:val="00CD5859"/>
    <w:rsid w:val="00CE05AA"/>
    <w:rsid w:val="00CE08BD"/>
    <w:rsid w:val="00CE23D9"/>
    <w:rsid w:val="00CF2A51"/>
    <w:rsid w:val="00CF2D8A"/>
    <w:rsid w:val="00D00649"/>
    <w:rsid w:val="00D21FA9"/>
    <w:rsid w:val="00D227EB"/>
    <w:rsid w:val="00D2524E"/>
    <w:rsid w:val="00D3757E"/>
    <w:rsid w:val="00D42D99"/>
    <w:rsid w:val="00D4402C"/>
    <w:rsid w:val="00D4673D"/>
    <w:rsid w:val="00D52873"/>
    <w:rsid w:val="00D60CE2"/>
    <w:rsid w:val="00D62388"/>
    <w:rsid w:val="00D64F76"/>
    <w:rsid w:val="00D674BD"/>
    <w:rsid w:val="00D71435"/>
    <w:rsid w:val="00D76B67"/>
    <w:rsid w:val="00D80D03"/>
    <w:rsid w:val="00D846B9"/>
    <w:rsid w:val="00D90D73"/>
    <w:rsid w:val="00D974DC"/>
    <w:rsid w:val="00DB0025"/>
    <w:rsid w:val="00DC6158"/>
    <w:rsid w:val="00DD5D73"/>
    <w:rsid w:val="00DF7826"/>
    <w:rsid w:val="00E04002"/>
    <w:rsid w:val="00E05638"/>
    <w:rsid w:val="00E10A00"/>
    <w:rsid w:val="00E11A30"/>
    <w:rsid w:val="00E14D45"/>
    <w:rsid w:val="00E30481"/>
    <w:rsid w:val="00E37715"/>
    <w:rsid w:val="00E47AA0"/>
    <w:rsid w:val="00E57A60"/>
    <w:rsid w:val="00E628D7"/>
    <w:rsid w:val="00E67BF8"/>
    <w:rsid w:val="00E77B61"/>
    <w:rsid w:val="00E806DA"/>
    <w:rsid w:val="00E832CD"/>
    <w:rsid w:val="00E86418"/>
    <w:rsid w:val="00E954AA"/>
    <w:rsid w:val="00EA4489"/>
    <w:rsid w:val="00EA582C"/>
    <w:rsid w:val="00EA5B8C"/>
    <w:rsid w:val="00EB0007"/>
    <w:rsid w:val="00EB0A42"/>
    <w:rsid w:val="00EB27EB"/>
    <w:rsid w:val="00EB438C"/>
    <w:rsid w:val="00EB54C4"/>
    <w:rsid w:val="00EC5478"/>
    <w:rsid w:val="00EC63E3"/>
    <w:rsid w:val="00ED0C7B"/>
    <w:rsid w:val="00ED325F"/>
    <w:rsid w:val="00ED449D"/>
    <w:rsid w:val="00ED7162"/>
    <w:rsid w:val="00ED7762"/>
    <w:rsid w:val="00EE14E6"/>
    <w:rsid w:val="00EE2A8E"/>
    <w:rsid w:val="00F01734"/>
    <w:rsid w:val="00F03931"/>
    <w:rsid w:val="00F04EA8"/>
    <w:rsid w:val="00F062E3"/>
    <w:rsid w:val="00F15401"/>
    <w:rsid w:val="00F154F8"/>
    <w:rsid w:val="00F16D01"/>
    <w:rsid w:val="00F21E1F"/>
    <w:rsid w:val="00F22D9C"/>
    <w:rsid w:val="00F32B3D"/>
    <w:rsid w:val="00F36F14"/>
    <w:rsid w:val="00F37937"/>
    <w:rsid w:val="00F401C7"/>
    <w:rsid w:val="00F41978"/>
    <w:rsid w:val="00F42521"/>
    <w:rsid w:val="00F441D6"/>
    <w:rsid w:val="00F462BA"/>
    <w:rsid w:val="00F5112D"/>
    <w:rsid w:val="00F5191A"/>
    <w:rsid w:val="00F67CD0"/>
    <w:rsid w:val="00F700C2"/>
    <w:rsid w:val="00F703F9"/>
    <w:rsid w:val="00F76971"/>
    <w:rsid w:val="00F84AA0"/>
    <w:rsid w:val="00F9185B"/>
    <w:rsid w:val="00FA0C52"/>
    <w:rsid w:val="00FA1316"/>
    <w:rsid w:val="00FB62B0"/>
    <w:rsid w:val="00FC3ABB"/>
    <w:rsid w:val="00FD53FB"/>
    <w:rsid w:val="00FE5766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3CEAA5"/>
  <w15:docId w15:val="{2A164ADE-FA1E-4659-A286-CE28EDA0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3D7"/>
    <w:rPr>
      <w:rFonts w:ascii="Arial" w:hAnsi="Arial"/>
      <w:szCs w:val="24"/>
    </w:rPr>
  </w:style>
  <w:style w:type="paragraph" w:styleId="2">
    <w:name w:val="heading 2"/>
    <w:aliases w:val="Стиль Пачоли,Paragraph,2,n2,Sub heading,1,h2,Заголовок 2 Знак + 12 pt,Слева: ....,Заголовок 2 Знак Знак,2К Заголовок 2,Заголовок 2 2К,Заголовок 2 Знак...,Heading_eng 2,n2_for Appl,Заголовок 2 Знак2 Знак,Стиль 1 Знак1 Знак,Подзаголовок1"/>
    <w:basedOn w:val="a"/>
    <w:next w:val="a"/>
    <w:link w:val="20"/>
    <w:uiPriority w:val="9"/>
    <w:qFormat/>
    <w:rsid w:val="004566E3"/>
    <w:pPr>
      <w:keepNext/>
      <w:keepLines/>
      <w:spacing w:line="360" w:lineRule="auto"/>
      <w:jc w:val="both"/>
      <w:outlineLvl w:val="1"/>
    </w:pPr>
    <w:rPr>
      <w:rFonts w:ascii="Times New Roman" w:hAnsi="Times New Roman"/>
      <w:b/>
      <w:bCs/>
      <w:smallCaps/>
      <w:color w:val="333399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23D7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523D7"/>
    <w:pPr>
      <w:tabs>
        <w:tab w:val="center" w:pos="4677"/>
        <w:tab w:val="right" w:pos="9355"/>
      </w:tabs>
    </w:pPr>
  </w:style>
  <w:style w:type="paragraph" w:customStyle="1" w:styleId="a6">
    <w:name w:val="Адрес"/>
    <w:basedOn w:val="a"/>
    <w:rsid w:val="008523D7"/>
    <w:pPr>
      <w:spacing w:line="240" w:lineRule="exact"/>
    </w:pPr>
    <w:rPr>
      <w:rFonts w:cs="Arial"/>
      <w:sz w:val="16"/>
      <w:szCs w:val="16"/>
    </w:rPr>
  </w:style>
  <w:style w:type="table" w:styleId="a7">
    <w:name w:val="Table Grid"/>
    <w:basedOn w:val="a1"/>
    <w:rsid w:val="0085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ходящие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16"/>
    </w:rPr>
  </w:style>
  <w:style w:type="paragraph" w:customStyle="1" w:styleId="PKF">
    <w:name w:val="PKF"/>
    <w:basedOn w:val="a"/>
    <w:link w:val="PKF0"/>
    <w:rsid w:val="008523D7"/>
    <w:pPr>
      <w:spacing w:line="140" w:lineRule="exact"/>
    </w:pPr>
    <w:rPr>
      <w:rFonts w:cs="Arial"/>
      <w:sz w:val="12"/>
      <w:szCs w:val="12"/>
    </w:rPr>
  </w:style>
  <w:style w:type="paragraph" w:customStyle="1" w:styleId="a9">
    <w:name w:val="Организация"/>
    <w:basedOn w:val="a"/>
    <w:rsid w:val="008523D7"/>
    <w:pPr>
      <w:spacing w:after="120" w:line="240" w:lineRule="exact"/>
      <w:jc w:val="right"/>
    </w:pPr>
  </w:style>
  <w:style w:type="paragraph" w:customStyle="1" w:styleId="aa">
    <w:name w:val="Уважаемый"/>
    <w:basedOn w:val="a"/>
    <w:rsid w:val="008523D7"/>
    <w:pPr>
      <w:spacing w:line="240" w:lineRule="exact"/>
    </w:pPr>
    <w:rPr>
      <w:lang w:val="en-US"/>
    </w:rPr>
  </w:style>
  <w:style w:type="paragraph" w:customStyle="1" w:styleId="1">
    <w:name w:val="Маркированный список1"/>
    <w:basedOn w:val="ab"/>
    <w:rsid w:val="008523D7"/>
    <w:pPr>
      <w:numPr>
        <w:numId w:val="1"/>
      </w:numPr>
      <w:tabs>
        <w:tab w:val="clear" w:pos="680"/>
        <w:tab w:val="num" w:pos="900"/>
      </w:tabs>
      <w:spacing w:before="60"/>
      <w:ind w:left="907"/>
    </w:pPr>
  </w:style>
  <w:style w:type="paragraph" w:customStyle="1" w:styleId="ab">
    <w:name w:val="Текст письма"/>
    <w:rsid w:val="008523D7"/>
    <w:pPr>
      <w:autoSpaceDE w:val="0"/>
      <w:autoSpaceDN w:val="0"/>
      <w:adjustRightInd w:val="0"/>
      <w:spacing w:before="180" w:line="240" w:lineRule="exact"/>
      <w:jc w:val="both"/>
    </w:pPr>
    <w:rPr>
      <w:rFonts w:ascii="Arial" w:hAnsi="Arial" w:cs="Arial"/>
    </w:rPr>
  </w:style>
  <w:style w:type="paragraph" w:customStyle="1" w:styleId="10">
    <w:name w:val="Нумерованный список1"/>
    <w:basedOn w:val="1"/>
    <w:rsid w:val="008523D7"/>
    <w:pPr>
      <w:numPr>
        <w:numId w:val="2"/>
      </w:numPr>
      <w:ind w:left="907" w:hanging="340"/>
    </w:pPr>
  </w:style>
  <w:style w:type="paragraph" w:customStyle="1" w:styleId="ac">
    <w:name w:val="Подпись_"/>
    <w:basedOn w:val="a3"/>
    <w:rsid w:val="008523D7"/>
    <w:pPr>
      <w:tabs>
        <w:tab w:val="clear" w:pos="4677"/>
        <w:tab w:val="clear" w:pos="9355"/>
      </w:tabs>
      <w:spacing w:before="480"/>
    </w:pPr>
  </w:style>
  <w:style w:type="paragraph" w:styleId="ad">
    <w:name w:val="Balloon Text"/>
    <w:basedOn w:val="a"/>
    <w:semiHidden/>
    <w:rsid w:val="008523D7"/>
    <w:rPr>
      <w:rFonts w:ascii="Tahoma" w:hAnsi="Tahoma" w:cs="Tahoma"/>
      <w:sz w:val="16"/>
      <w:szCs w:val="16"/>
    </w:rPr>
  </w:style>
  <w:style w:type="paragraph" w:customStyle="1" w:styleId="ae">
    <w:name w:val="С уважением"/>
    <w:basedOn w:val="a"/>
    <w:rsid w:val="008523D7"/>
    <w:pPr>
      <w:autoSpaceDE w:val="0"/>
      <w:autoSpaceDN w:val="0"/>
      <w:adjustRightInd w:val="0"/>
      <w:spacing w:before="480" w:line="240" w:lineRule="exact"/>
    </w:pPr>
    <w:rPr>
      <w:rFonts w:cs="Arial"/>
      <w:szCs w:val="20"/>
    </w:rPr>
  </w:style>
  <w:style w:type="character" w:customStyle="1" w:styleId="PKF0">
    <w:name w:val="PKF Знак"/>
    <w:basedOn w:val="a0"/>
    <w:link w:val="PKF"/>
    <w:rsid w:val="008523D7"/>
    <w:rPr>
      <w:rFonts w:ascii="Arial" w:hAnsi="Arial" w:cs="Arial"/>
      <w:sz w:val="12"/>
      <w:szCs w:val="12"/>
      <w:lang w:val="ru-RU" w:eastAsia="ru-RU" w:bidi="ar-SA"/>
    </w:rPr>
  </w:style>
  <w:style w:type="paragraph" w:customStyle="1" w:styleId="Address">
    <w:name w:val="Address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20"/>
      <w:lang w:val="en-US"/>
    </w:rPr>
  </w:style>
  <w:style w:type="character" w:styleId="af">
    <w:name w:val="Hyperlink"/>
    <w:basedOn w:val="a0"/>
    <w:unhideWhenUsed/>
    <w:rsid w:val="000F520E"/>
    <w:rPr>
      <w:color w:val="0000FF"/>
      <w:u w:val="single"/>
    </w:rPr>
  </w:style>
  <w:style w:type="paragraph" w:customStyle="1" w:styleId="ConsNonformat">
    <w:name w:val="ConsNonformat"/>
    <w:uiPriority w:val="99"/>
    <w:rsid w:val="003A3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283379"/>
    <w:rPr>
      <w:rFonts w:ascii="Arial" w:hAnsi="Arial"/>
      <w:szCs w:val="24"/>
    </w:rPr>
  </w:style>
  <w:style w:type="paragraph" w:styleId="af0">
    <w:name w:val="List Paragraph"/>
    <w:basedOn w:val="a"/>
    <w:link w:val="af1"/>
    <w:uiPriority w:val="34"/>
    <w:qFormat/>
    <w:rsid w:val="005E4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A58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 Spacing"/>
    <w:uiPriority w:val="1"/>
    <w:qFormat/>
    <w:rsid w:val="00F441D6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rsid w:val="004566E3"/>
    <w:rPr>
      <w:rFonts w:ascii="Calibri" w:hAnsi="Calibri" w:cs="Calibri"/>
      <w:sz w:val="22"/>
    </w:rPr>
  </w:style>
  <w:style w:type="character" w:customStyle="1" w:styleId="20">
    <w:name w:val="Заголовок 2 Знак"/>
    <w:aliases w:val="Стиль Пачоли Знак,Paragraph Знак,2 Знак,n2 Знак,Sub heading Знак,1 Знак,h2 Знак,Заголовок 2 Знак + 12 pt Знак,Слева: .... Знак,Заголовок 2 Знак Знак Знак,2К Заголовок 2 Знак,Заголовок 2 2К Знак,Заголовок 2 Знак... Знак,n2_for Appl Знак"/>
    <w:basedOn w:val="a0"/>
    <w:link w:val="2"/>
    <w:uiPriority w:val="9"/>
    <w:rsid w:val="004566E3"/>
    <w:rPr>
      <w:b/>
      <w:bCs/>
      <w:smallCaps/>
      <w:color w:val="333399"/>
      <w:sz w:val="24"/>
      <w:szCs w:val="24"/>
      <w:lang w:eastAsia="en-US"/>
    </w:rPr>
  </w:style>
  <w:style w:type="character" w:customStyle="1" w:styleId="af1">
    <w:name w:val="Абзац списка Знак"/>
    <w:basedOn w:val="a0"/>
    <w:link w:val="af0"/>
    <w:uiPriority w:val="34"/>
    <w:locked/>
    <w:rsid w:val="004E3A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bk.by" TargetMode="External"/><Relationship Id="rId1" Type="http://schemas.openxmlformats.org/officeDocument/2006/relationships/hyperlink" Target="http://www.fbk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41;&#1051;&#1040;&#1053;&#1050;&#1048;\&#1041;&#1077;&#1083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9AA79-19EC-4080-A8EC-01C0D218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2</TotalTime>
  <Pages>2</Pages>
  <Words>533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FBK</Company>
  <LinksUpToDate>false</LinksUpToDate>
  <CharactersWithSpaces>4400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mailto:fbk@fbk.by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Renata</dc:creator>
  <cp:lastModifiedBy>user</cp:lastModifiedBy>
  <cp:revision>2</cp:revision>
  <cp:lastPrinted>2023-11-02T12:10:00Z</cp:lastPrinted>
  <dcterms:created xsi:type="dcterms:W3CDTF">2024-12-16T13:48:00Z</dcterms:created>
  <dcterms:modified xsi:type="dcterms:W3CDTF">2024-12-16T13:48:00Z</dcterms:modified>
</cp:coreProperties>
</file>